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AC7" w:rsidRPr="00CA3AC7" w:rsidRDefault="00CA3AC7" w:rsidP="00CA3AC7">
      <w:pPr>
        <w:rPr>
          <w:rFonts w:ascii="Times New Roman" w:hAnsi="Times New Roman" w:cs="Times New Roman"/>
          <w:sz w:val="24"/>
          <w:szCs w:val="24"/>
        </w:rPr>
      </w:pPr>
      <w:r w:rsidRPr="00CA3AC7">
        <w:rPr>
          <w:rFonts w:ascii="Times New Roman" w:hAnsi="Times New Roman" w:cs="Times New Roman"/>
          <w:sz w:val="24"/>
          <w:szCs w:val="24"/>
        </w:rPr>
        <w:t>Dear Susana</w:t>
      </w:r>
    </w:p>
    <w:p w:rsidR="00CA3AC7" w:rsidRPr="00CA3AC7" w:rsidRDefault="00CA3AC7" w:rsidP="00CA3AC7">
      <w:pPr>
        <w:ind w:firstLine="720"/>
        <w:rPr>
          <w:rFonts w:ascii="Times New Roman" w:hAnsi="Times New Roman" w:cs="Times New Roman"/>
          <w:sz w:val="24"/>
          <w:szCs w:val="24"/>
        </w:rPr>
      </w:pPr>
      <w:bookmarkStart w:id="0" w:name="_GoBack"/>
      <w:bookmarkEnd w:id="0"/>
      <w:r w:rsidRPr="00CA3AC7">
        <w:rPr>
          <w:rFonts w:ascii="Times New Roman" w:hAnsi="Times New Roman" w:cs="Times New Roman"/>
          <w:sz w:val="24"/>
          <w:szCs w:val="24"/>
        </w:rPr>
        <w:t xml:space="preserve">We actually did the same comparison on school counseling and marriage counseling. I enjoyed reading your inputs on the same. From your post, you say on the first paragraph that one can get licensed as an LMFT associate while still working on becoming an LMFT. I also find it to be very interesting. In most fields, one has to finish up all required studies, graduate and take a necessary work experience to become an associate in the field. In becoming a licensed professional clinical counselor (LPCC), one requires a bachelor’s degree in psychology, social work or any other relevant field, get a master degree in professional counseling, then get a certification and licensing credentials (Borders &amp; </w:t>
      </w:r>
      <w:proofErr w:type="spellStart"/>
      <w:r w:rsidRPr="00CA3AC7">
        <w:rPr>
          <w:rFonts w:ascii="Times New Roman" w:hAnsi="Times New Roman" w:cs="Times New Roman"/>
          <w:sz w:val="24"/>
          <w:szCs w:val="24"/>
        </w:rPr>
        <w:t>Cashwell</w:t>
      </w:r>
      <w:proofErr w:type="spellEnd"/>
      <w:r w:rsidRPr="00CA3AC7">
        <w:rPr>
          <w:rFonts w:ascii="Times New Roman" w:hAnsi="Times New Roman" w:cs="Times New Roman"/>
          <w:sz w:val="24"/>
          <w:szCs w:val="24"/>
        </w:rPr>
        <w:t>, 1992).</w:t>
      </w:r>
    </w:p>
    <w:p w:rsidR="00CA3AC7" w:rsidRPr="00CA3AC7" w:rsidRDefault="00CA3AC7" w:rsidP="00CA3AC7">
      <w:pPr>
        <w:rPr>
          <w:rFonts w:ascii="Times New Roman" w:hAnsi="Times New Roman" w:cs="Times New Roman"/>
          <w:sz w:val="24"/>
          <w:szCs w:val="24"/>
        </w:rPr>
      </w:pPr>
      <w:r w:rsidRPr="00CA3AC7">
        <w:rPr>
          <w:rFonts w:ascii="Times New Roman" w:hAnsi="Times New Roman" w:cs="Times New Roman"/>
          <w:sz w:val="24"/>
          <w:szCs w:val="24"/>
        </w:rPr>
        <w:t xml:space="preserve">Reference </w:t>
      </w:r>
    </w:p>
    <w:p w:rsidR="00CA3AC7" w:rsidRPr="00CA3AC7" w:rsidRDefault="00CA3AC7" w:rsidP="00CA3AC7">
      <w:pPr>
        <w:ind w:left="720" w:hanging="720"/>
        <w:jc w:val="both"/>
        <w:rPr>
          <w:rFonts w:ascii="Times New Roman" w:hAnsi="Times New Roman" w:cs="Times New Roman"/>
          <w:sz w:val="24"/>
          <w:szCs w:val="24"/>
        </w:rPr>
      </w:pPr>
      <w:proofErr w:type="gramStart"/>
      <w:r w:rsidRPr="00CA3AC7">
        <w:rPr>
          <w:rFonts w:ascii="Times New Roman" w:hAnsi="Times New Roman" w:cs="Times New Roman"/>
          <w:sz w:val="24"/>
          <w:szCs w:val="24"/>
        </w:rPr>
        <w:t xml:space="preserve">Borders, L. D., &amp; </w:t>
      </w:r>
      <w:proofErr w:type="spellStart"/>
      <w:r w:rsidRPr="00CA3AC7">
        <w:rPr>
          <w:rFonts w:ascii="Times New Roman" w:hAnsi="Times New Roman" w:cs="Times New Roman"/>
          <w:sz w:val="24"/>
          <w:szCs w:val="24"/>
        </w:rPr>
        <w:t>Cashwell</w:t>
      </w:r>
      <w:proofErr w:type="spellEnd"/>
      <w:r w:rsidRPr="00CA3AC7">
        <w:rPr>
          <w:rFonts w:ascii="Times New Roman" w:hAnsi="Times New Roman" w:cs="Times New Roman"/>
          <w:sz w:val="24"/>
          <w:szCs w:val="24"/>
        </w:rPr>
        <w:t>, C. S. (1992).</w:t>
      </w:r>
      <w:proofErr w:type="gramEnd"/>
      <w:r w:rsidRPr="00CA3AC7">
        <w:rPr>
          <w:rFonts w:ascii="Times New Roman" w:hAnsi="Times New Roman" w:cs="Times New Roman"/>
          <w:sz w:val="24"/>
          <w:szCs w:val="24"/>
        </w:rPr>
        <w:t xml:space="preserve"> </w:t>
      </w:r>
      <w:proofErr w:type="gramStart"/>
      <w:r w:rsidRPr="00CA3AC7">
        <w:rPr>
          <w:rFonts w:ascii="Times New Roman" w:hAnsi="Times New Roman" w:cs="Times New Roman"/>
          <w:sz w:val="24"/>
          <w:szCs w:val="24"/>
        </w:rPr>
        <w:t>Supervision regulations in counselor licensure legislation.</w:t>
      </w:r>
      <w:proofErr w:type="gramEnd"/>
      <w:r w:rsidRPr="00CA3AC7">
        <w:rPr>
          <w:rFonts w:ascii="Times New Roman" w:hAnsi="Times New Roman" w:cs="Times New Roman"/>
          <w:sz w:val="24"/>
          <w:szCs w:val="24"/>
        </w:rPr>
        <w:t xml:space="preserve"> Counselor Education and Supervision, 31(4), 208-218.</w:t>
      </w:r>
    </w:p>
    <w:p w:rsidR="00CA3AC7" w:rsidRPr="00CA3AC7" w:rsidRDefault="00CA3AC7" w:rsidP="00CA3AC7"/>
    <w:sectPr w:rsidR="00CA3AC7" w:rsidRPr="00CA3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963"/>
    <w:rsid w:val="000B20D6"/>
    <w:rsid w:val="004318DE"/>
    <w:rsid w:val="00C00963"/>
    <w:rsid w:val="00CA3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2019-04-20T08:09:00Z</dcterms:created>
  <dcterms:modified xsi:type="dcterms:W3CDTF">2019-04-20T08:25:00Z</dcterms:modified>
</cp:coreProperties>
</file>